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80" w:after="200"/>
      </w:pPr>
      <w:r>
        <w:rPr>
          <w:rFonts w:ascii="Calibri" w:hAnsi="Calibri"/>
          <w:b/>
          <w:i w:val="0"/>
          <w:color w:val="0E7C7B"/>
          <w:sz w:val="20"/>
        </w:rPr>
        <w:t>APEXINSIGHT GLOBALCHECK</w:t>
      </w:r>
    </w:p>
    <w:p>
      <w:pPr>
        <w:pStyle w:val="Title"/>
        <w:spacing w:after="160"/>
      </w:pPr>
      <w:r>
        <w:rPr>
          <w:rFonts w:ascii="Calibri" w:hAnsi="Calibri"/>
          <w:b/>
          <w:i w:val="0"/>
          <w:color w:val="0B2942"/>
          <w:sz w:val="56"/>
        </w:rPr>
        <w:t>Global Country Intelligence Model</w:t>
      </w:r>
    </w:p>
    <w:p>
      <w:pPr>
        <w:pStyle w:val="Subtitle"/>
      </w:pPr>
      <w:r>
        <w:rPr>
          <w:rFonts w:ascii="Calibri" w:hAnsi="Calibri"/>
          <w:b w:val="0"/>
          <w:i w:val="0"/>
          <w:color w:val="5C7082"/>
          <w:sz w:val="26"/>
        </w:rPr>
        <w:t>Client Methodology and Governance Statement</w:t>
      </w:r>
    </w:p>
    <w:tbl>
      <w:tblPr>
        <w:tblW w:type="dxa" w:w="9360"/>
        <w:tblLayout w:type="fixed"/>
        <w:tblLook w:firstColumn="1" w:firstRow="1" w:lastColumn="0" w:lastRow="0" w:noHBand="0" w:noVBand="1" w:val="04A0"/>
        <w:tblInd w:w="120" w:type="dxa"/>
      </w:tblPr>
      <w:tblGrid>
        <w:gridCol w:w="3100"/>
        <w:gridCol w:w="3100"/>
        <w:gridCol w:w="3160"/>
      </w:tblGrid>
      <w:tr>
        <w:tc>
          <w:tcPr>
            <w:tcW w:type="dxa" w:w="3100"/>
            <w:tcMar>
              <w:top w:w="100" w:type="dxa"/>
              <w:start w:w="140" w:type="dxa"/>
              <w:bottom w:w="100" w:type="dxa"/>
              <w:end w:w="140" w:type="dxa"/>
            </w:tcMar>
            <w:vAlign w:val="center"/>
            <w:shd w:fill="E8F6F4"/>
          </w:tcPr>
          <w:p>
            <w:pPr>
              <w:spacing w:after="40"/>
            </w:pPr>
            <w:r>
              <w:rPr>
                <w:rFonts w:ascii="Calibri" w:hAnsi="Calibri"/>
                <w:b/>
                <w:i w:val="0"/>
                <w:color w:val="0E7C7B"/>
                <w:sz w:val="17"/>
              </w:rPr>
              <w:t>MODEL</w:t>
              <w:br/>
            </w:r>
            <w:r>
              <w:rPr>
                <w:rFonts w:ascii="Calibri" w:hAnsi="Calibri"/>
                <w:b/>
                <w:i w:val="0"/>
                <w:color w:val="0B2942"/>
                <w:sz w:val="21"/>
              </w:rPr>
              <w:t>1.0.0-rc1</w:t>
            </w:r>
          </w:p>
        </w:tc>
        <w:tc>
          <w:tcPr>
            <w:tcW w:type="dxa" w:w="3100"/>
            <w:tcMar>
              <w:top w:w="100" w:type="dxa"/>
              <w:start w:w="140" w:type="dxa"/>
              <w:bottom w:w="100" w:type="dxa"/>
              <w:end w:w="140" w:type="dxa"/>
            </w:tcMar>
            <w:vAlign w:val="center"/>
            <w:shd w:fill="FFF7E6"/>
          </w:tcPr>
          <w:p>
            <w:pPr>
              <w:spacing w:after="40"/>
            </w:pPr>
            <w:r>
              <w:rPr>
                <w:rFonts w:ascii="Calibri" w:hAnsi="Calibri"/>
                <w:b/>
                <w:i w:val="0"/>
                <w:color w:val="0E7C7B"/>
                <w:sz w:val="17"/>
              </w:rPr>
              <w:t>STATUS</w:t>
              <w:br/>
            </w:r>
            <w:r>
              <w:rPr>
                <w:rFonts w:ascii="Calibri" w:hAnsi="Calibri"/>
                <w:b/>
                <w:i w:val="0"/>
                <w:color w:val="0B2942"/>
                <w:sz w:val="21"/>
              </w:rPr>
              <w:t>Limited client release</w:t>
            </w:r>
          </w:p>
        </w:tc>
        <w:tc>
          <w:tcPr>
            <w:tcW w:type="dxa" w:w="3160"/>
            <w:tcMar>
              <w:top w:w="100" w:type="dxa"/>
              <w:start w:w="140" w:type="dxa"/>
              <w:bottom w:w="100" w:type="dxa"/>
              <w:end w:w="140" w:type="dxa"/>
            </w:tcMar>
            <w:vAlign w:val="center"/>
            <w:shd w:fill="E8F6F4"/>
          </w:tcPr>
          <w:p>
            <w:pPr>
              <w:spacing w:after="40"/>
            </w:pPr>
            <w:r>
              <w:rPr>
                <w:rFonts w:ascii="Calibri" w:hAnsi="Calibri"/>
                <w:b/>
                <w:i w:val="0"/>
                <w:color w:val="0E7C7B"/>
                <w:sz w:val="17"/>
              </w:rPr>
              <w:t>PURPOSE</w:t>
              <w:br/>
            </w:r>
            <w:r>
              <w:rPr>
                <w:rFonts w:ascii="Calibri" w:hAnsi="Calibri"/>
                <w:b/>
                <w:i w:val="0"/>
                <w:color w:val="0B2942"/>
                <w:sz w:val="21"/>
              </w:rPr>
              <w:t>Business decision support</w:t>
            </w:r>
          </w:p>
        </w:tc>
      </w:tr>
    </w:tbl>
    <w:p/>
    <w:tbl>
      <w:tblPr>
        <w:tblW w:type="dxa" w:w="9360"/>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vAlign w:val="center"/>
            <w:shd w:fill="FFF7E6"/>
          </w:tcPr>
          <w:p>
            <w:pPr>
              <w:spacing w:after="0"/>
            </w:pPr>
            <w:r>
              <w:rPr>
                <w:rFonts w:ascii="Calibri" w:hAnsi="Calibri"/>
                <w:b/>
                <w:i w:val="0"/>
                <w:color w:val="0E7C7B"/>
                <w:sz w:val="21"/>
              </w:rPr>
              <w:t xml:space="preserve">POSITIONING  </w:t>
            </w:r>
            <w:r>
              <w:rPr>
                <w:rFonts w:ascii="Calibri" w:hAnsi="Calibri"/>
                <w:b w:val="0"/>
                <w:i w:val="0"/>
                <w:color w:val="0B2942"/>
                <w:sz w:val="21"/>
              </w:rPr>
              <w:t>This country intelligence indicator is designed for business decision support and does not represent a credit rating, investment rating, or default prediction.</w:t>
            </w:r>
          </w:p>
        </w:tc>
      </w:tr>
    </w:tbl>
    <w:p>
      <w:pPr>
        <w:spacing w:after="40"/>
      </w:pPr>
    </w:p>
    <w:p>
      <w:pPr>
        <w:pStyle w:val="Heading1"/>
      </w:pPr>
      <w:r>
        <w:t>1 Executive Summary</w:t>
      </w:r>
    </w:p>
    <w:p>
      <w:r>
        <w:t>The ApexInsight Global Country Intelligence Model is a five-dimensional business decision-support framework for comparing country and economy conditions relevant to international trade, overseas market entry, global commercial operations, and cross-border portfolio planning.</w:t>
      </w:r>
    </w:p>
    <w:p>
      <w:r>
        <w:t>It combines country-level evidence into standardized, comparable indicators while preserving separate views of risk, capability, opportunity, data coverage, and confidence. The model supports prioritization and structured review; it does not replace transaction-specific judgement.</w:t>
      </w:r>
    </w:p>
    <w:p>
      <w:pPr>
        <w:pStyle w:val="Heading1"/>
      </w:pPr>
      <w:r>
        <w:t>2 Why Country Intelligence Matters</w:t>
      </w:r>
    </w:p>
    <w:p>
      <w:r>
        <w:t>International businesses operate across markets with materially different economic capacity, external liquidity, trade execution conditions, institutional settings, and demand potential. A consistent country lens helps decision-makers compare those differences without reducing them to one unexplained label.</w:t>
      </w:r>
    </w:p>
    <w:p>
      <w:pPr>
        <w:pStyle w:val="ListBullet"/>
      </w:pPr>
      <w:r>
        <w:rPr>
          <w:rFonts w:ascii="Calibri" w:hAnsi="Calibri"/>
          <w:b w:val="0"/>
          <w:i w:val="0"/>
          <w:color w:val="1F3142"/>
          <w:sz w:val="22"/>
        </w:rPr>
        <w:t>Macroeconomic volatility can affect demand, costs, and planning assumptions.</w:t>
      </w:r>
    </w:p>
    <w:p>
      <w:pPr>
        <w:pStyle w:val="ListBullet"/>
      </w:pPr>
      <w:r>
        <w:rPr>
          <w:rFonts w:ascii="Calibri" w:hAnsi="Calibri"/>
          <w:b w:val="0"/>
          <w:i w:val="0"/>
          <w:color w:val="1F3142"/>
          <w:sz w:val="22"/>
        </w:rPr>
        <w:t>Currency and external payment pressures can affect cross-border transaction execution.</w:t>
      </w:r>
    </w:p>
    <w:p>
      <w:pPr>
        <w:pStyle w:val="ListBullet"/>
      </w:pPr>
      <w:r>
        <w:rPr>
          <w:rFonts w:ascii="Calibri" w:hAnsi="Calibri"/>
          <w:b w:val="0"/>
          <w:i w:val="0"/>
          <w:color w:val="1F3142"/>
          <w:sz w:val="22"/>
        </w:rPr>
        <w:t>Payment and trade conditions differ across legal, financial, and commercial systems.</w:t>
      </w:r>
    </w:p>
    <w:p>
      <w:pPr>
        <w:pStyle w:val="ListBullet"/>
      </w:pPr>
      <w:r>
        <w:rPr>
          <w:rFonts w:ascii="Calibri" w:hAnsi="Calibri"/>
          <w:b w:val="0"/>
          <w:i w:val="0"/>
          <w:color w:val="1F3142"/>
          <w:sz w:val="22"/>
        </w:rPr>
        <w:t>Geopolitical and policy changes can alter operating conditions quickly.</w:t>
      </w:r>
    </w:p>
    <w:p>
      <w:pPr>
        <w:pStyle w:val="ListBullet"/>
      </w:pPr>
      <w:r>
        <w:rPr>
          <w:rFonts w:ascii="Calibri" w:hAnsi="Calibri"/>
          <w:b w:val="0"/>
          <w:i w:val="0"/>
          <w:color w:val="1F3142"/>
          <w:sz w:val="22"/>
        </w:rPr>
        <w:t>Market opportunity can be substantial even where country-level risk requires controls.</w:t>
      </w:r>
    </w:p>
    <w:p>
      <w:pPr>
        <w:pStyle w:val="Heading1"/>
      </w:pPr>
      <w:r>
        <w:t>3 Model Framework</w:t>
      </w:r>
    </w:p>
    <w:p>
      <w:r>
        <w:t>The framework publishes five dimension scores on a common 0-100 scale. Higher scores indicate stronger capability or more supportive conditions; lower scores indicate weaker capability or higher country-level risk. Null values remain unpublished rather than being converted into artificial scores.</w:t>
      </w:r>
    </w:p>
    <w:p>
      <w:pPr>
        <w:pStyle w:val="Heading2"/>
      </w:pPr>
      <w:r>
        <w:rPr>
          <w:rFonts w:ascii="Calibri" w:hAnsi="Calibri"/>
          <w:b/>
          <w:i w:val="0"/>
          <w:color w:val="206B9C"/>
          <w:sz w:val="26"/>
        </w:rPr>
        <w:t>Economic Capacity</w:t>
      </w:r>
    </w:p>
    <w:p>
      <w:r>
        <w:rPr>
          <w:rFonts w:ascii="Calibri" w:hAnsi="Calibri"/>
          <w:b w:val="0"/>
          <w:i w:val="0"/>
          <w:color w:val="1F3142"/>
          <w:sz w:val="22"/>
        </w:rPr>
        <w:t>Economic scale, income, production base, growth, and the broader capacity that supports sustained commercial activity.</w:t>
      </w:r>
    </w:p>
    <w:p>
      <w:r>
        <w:rPr>
          <w:rFonts w:ascii="Calibri" w:hAnsi="Calibri"/>
          <w:b/>
          <w:i w:val="0"/>
          <w:color w:val="0E7C7B"/>
          <w:sz w:val="21"/>
        </w:rPr>
        <w:t xml:space="preserve">Decision use: </w:t>
      </w:r>
      <w:r>
        <w:rPr>
          <w:rFonts w:ascii="Calibri" w:hAnsi="Calibri"/>
          <w:b w:val="0"/>
          <w:i w:val="0"/>
          <w:color w:val="5C7082"/>
          <w:sz w:val="21"/>
        </w:rPr>
        <w:t>Provides a view of the economic foundation and long-term capacity supporting a market.</w:t>
      </w:r>
    </w:p>
    <w:p>
      <w:pPr>
        <w:pStyle w:val="Heading2"/>
      </w:pPr>
      <w:r>
        <w:rPr>
          <w:rFonts w:ascii="Calibri" w:hAnsi="Calibri"/>
          <w:b/>
          <w:i w:val="0"/>
          <w:color w:val="206B9C"/>
          <w:sz w:val="26"/>
        </w:rPr>
        <w:t>External Payment Capacity</w:t>
      </w:r>
    </w:p>
    <w:p>
      <w:r>
        <w:rPr>
          <w:rFonts w:ascii="Calibri" w:hAnsi="Calibri"/>
          <w:b w:val="0"/>
          <w:i w:val="0"/>
          <w:color w:val="1F3142"/>
          <w:sz w:val="22"/>
        </w:rPr>
        <w:t>External liquidity, reserve adequacy, external balance, debt burden, and macroeconomic stability relevant to a country's ability to support cross-border payments.</w:t>
      </w:r>
    </w:p>
    <w:p>
      <w:r>
        <w:rPr>
          <w:rFonts w:ascii="Calibri" w:hAnsi="Calibri"/>
          <w:b/>
          <w:i w:val="0"/>
          <w:color w:val="0E7C7B"/>
          <w:sz w:val="21"/>
        </w:rPr>
        <w:t xml:space="preserve">Decision use: </w:t>
      </w:r>
      <w:r>
        <w:rPr>
          <w:rFonts w:ascii="Calibri" w:hAnsi="Calibri"/>
          <w:b w:val="0"/>
          <w:i w:val="0"/>
          <w:color w:val="5C7082"/>
          <w:sz w:val="21"/>
        </w:rPr>
        <w:t>Supports assessment of national-level external payment resilience; it is not buyer credit analysis.</w:t>
      </w:r>
    </w:p>
    <w:p>
      <w:pPr>
        <w:pStyle w:val="Heading2"/>
      </w:pPr>
      <w:r>
        <w:rPr>
          <w:rFonts w:ascii="Calibri" w:hAnsi="Calibri"/>
          <w:b/>
          <w:i w:val="0"/>
          <w:color w:val="206B9C"/>
          <w:sz w:val="26"/>
        </w:rPr>
        <w:t>Trade Execution Environment</w:t>
      </w:r>
    </w:p>
    <w:p>
      <w:r>
        <w:rPr>
          <w:rFonts w:ascii="Calibri" w:hAnsi="Calibri"/>
          <w:b w:val="0"/>
          <w:i w:val="0"/>
          <w:color w:val="1F3142"/>
          <w:sz w:val="22"/>
        </w:rPr>
        <w:t>Country-level conditions affecting trade payment and execution, including available country-risk indicators and macroeconomic proxy measures.</w:t>
      </w:r>
    </w:p>
    <w:p>
      <w:r>
        <w:rPr>
          <w:rFonts w:ascii="Calibri" w:hAnsi="Calibri"/>
          <w:b/>
          <w:i w:val="0"/>
          <w:color w:val="0E7C7B"/>
          <w:sz w:val="21"/>
        </w:rPr>
        <w:t xml:space="preserve">Decision use: </w:t>
      </w:r>
      <w:r>
        <w:rPr>
          <w:rFonts w:ascii="Calibri" w:hAnsi="Calibri"/>
          <w:b w:val="0"/>
          <w:i w:val="0"/>
          <w:color w:val="5C7082"/>
          <w:sz w:val="21"/>
        </w:rPr>
        <w:t>Highlights conditions that may warrant tighter transaction structures or additional review.</w:t>
      </w:r>
    </w:p>
    <w:tbl>
      <w:tblPr>
        <w:tblW w:type="dxa" w:w="9360"/>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vAlign w:val="center"/>
            <w:shd w:fill="FFF7E6"/>
          </w:tcPr>
          <w:p>
            <w:pPr>
              <w:spacing w:after="0"/>
            </w:pPr>
            <w:r>
              <w:rPr>
                <w:rFonts w:ascii="Calibri" w:hAnsi="Calibri"/>
                <w:b/>
                <w:i w:val="0"/>
                <w:color w:val="0E7C7B"/>
                <w:sz w:val="21"/>
              </w:rPr>
              <w:t xml:space="preserve">IMPORTANT BOUNDARY  </w:t>
            </w:r>
            <w:r>
              <w:rPr>
                <w:rFonts w:ascii="Calibri" w:hAnsi="Calibri"/>
                <w:b w:val="0"/>
                <w:i w:val="0"/>
                <w:color w:val="0B2942"/>
                <w:sz w:val="21"/>
              </w:rPr>
              <w:t>The current Trade Execution dimension includes macro proxy indicators. A weaker score does not confirm that foreign-exchange conversion or remittance restrictions exist.</w:t>
            </w:r>
          </w:p>
        </w:tc>
      </w:tr>
    </w:tbl>
    <w:p>
      <w:pPr>
        <w:spacing w:after="40"/>
      </w:pPr>
    </w:p>
    <w:p>
      <w:pPr>
        <w:pStyle w:val="Heading2"/>
      </w:pPr>
      <w:r>
        <w:rPr>
          <w:rFonts w:ascii="Calibri" w:hAnsi="Calibri"/>
          <w:b/>
          <w:i w:val="0"/>
          <w:color w:val="206B9C"/>
          <w:sz w:val="26"/>
        </w:rPr>
        <w:t>Business Environment</w:t>
      </w:r>
    </w:p>
    <w:p>
      <w:r>
        <w:rPr>
          <w:rFonts w:ascii="Calibri" w:hAnsi="Calibri"/>
          <w:b w:val="0"/>
          <w:i w:val="0"/>
          <w:color w:val="1F3142"/>
          <w:sz w:val="22"/>
        </w:rPr>
        <w:t>Institutional quality, governance, regulatory conditions, infrastructure, and the broader environment in which enterprises operate.</w:t>
      </w:r>
    </w:p>
    <w:p>
      <w:r>
        <w:rPr>
          <w:rFonts w:ascii="Calibri" w:hAnsi="Calibri"/>
          <w:b/>
          <w:i w:val="0"/>
          <w:color w:val="0E7C7B"/>
          <w:sz w:val="21"/>
        </w:rPr>
        <w:t xml:space="preserve">Decision use: </w:t>
      </w:r>
      <w:r>
        <w:rPr>
          <w:rFonts w:ascii="Calibri" w:hAnsi="Calibri"/>
          <w:b w:val="0"/>
          <w:i w:val="0"/>
          <w:color w:val="5C7082"/>
          <w:sz w:val="21"/>
        </w:rPr>
        <w:t>Supports market-entry, supplier, operating-model, and country oversight decisions.</w:t>
      </w:r>
    </w:p>
    <w:p>
      <w:pPr>
        <w:pStyle w:val="Heading2"/>
      </w:pPr>
      <w:r>
        <w:rPr>
          <w:rFonts w:ascii="Calibri" w:hAnsi="Calibri"/>
          <w:b/>
          <w:i w:val="0"/>
          <w:color w:val="206B9C"/>
          <w:sz w:val="26"/>
        </w:rPr>
        <w:t>Market Opportunity</w:t>
      </w:r>
    </w:p>
    <w:p>
      <w:r>
        <w:rPr>
          <w:rFonts w:ascii="Calibri" w:hAnsi="Calibri"/>
          <w:b w:val="0"/>
          <w:i w:val="0"/>
          <w:color w:val="1F3142"/>
          <w:sz w:val="22"/>
        </w:rPr>
        <w:t>Market scale, import demand, economic momentum, openness, and commercial accessibility.</w:t>
      </w:r>
    </w:p>
    <w:p>
      <w:r>
        <w:rPr>
          <w:rFonts w:ascii="Calibri" w:hAnsi="Calibri"/>
          <w:b/>
          <w:i w:val="0"/>
          <w:color w:val="0E7C7B"/>
          <w:sz w:val="21"/>
        </w:rPr>
        <w:t xml:space="preserve">Decision use: </w:t>
      </w:r>
      <w:r>
        <w:rPr>
          <w:rFonts w:ascii="Calibri" w:hAnsi="Calibri"/>
          <w:b w:val="0"/>
          <w:i w:val="0"/>
          <w:color w:val="5C7082"/>
          <w:sz w:val="21"/>
        </w:rPr>
        <w:t>Supports opportunity prioritization. Opportunity is evaluated separately from country risk.</w:t>
      </w:r>
    </w:p>
    <w:p>
      <w:pPr>
        <w:pStyle w:val="Heading1"/>
      </w:pPr>
      <w:r>
        <w:t>4 Data Foundation</w:t>
      </w:r>
    </w:p>
    <w:p>
      <w:r>
        <w:t>The model uses controlled, traceable country-level inputs from international organizations, public economic databases, sovereign-risk indicators, country-risk indicators, and macroeconomic datasets. Source records are retained with identifiers, reference periods, transformation metadata, and quality status wherever available.</w:t>
      </w:r>
    </w:p>
    <w:p>
      <w:pPr>
        <w:pStyle w:val="ListBullet"/>
      </w:pPr>
      <w:r>
        <w:rPr>
          <w:rFonts w:ascii="Calibri" w:hAnsi="Calibri"/>
          <w:b w:val="0"/>
          <w:i w:val="0"/>
          <w:color w:val="1F3142"/>
          <w:sz w:val="22"/>
        </w:rPr>
        <w:t>International organization and public statistical data</w:t>
      </w:r>
    </w:p>
    <w:p>
      <w:pPr>
        <w:pStyle w:val="ListBullet"/>
      </w:pPr>
      <w:r>
        <w:rPr>
          <w:rFonts w:ascii="Calibri" w:hAnsi="Calibri"/>
          <w:b w:val="0"/>
          <w:i w:val="0"/>
          <w:color w:val="1F3142"/>
          <w:sz w:val="22"/>
        </w:rPr>
        <w:t>Sovereign-risk and country-risk indicators</w:t>
      </w:r>
    </w:p>
    <w:p>
      <w:pPr>
        <w:pStyle w:val="ListBullet"/>
      </w:pPr>
      <w:r>
        <w:rPr>
          <w:rFonts w:ascii="Calibri" w:hAnsi="Calibri"/>
          <w:b w:val="0"/>
          <w:i w:val="0"/>
          <w:color w:val="1F3142"/>
          <w:sz w:val="22"/>
        </w:rPr>
        <w:t>Macroeconomic, trade, external balance, and reserve indicators</w:t>
      </w:r>
    </w:p>
    <w:p>
      <w:pPr>
        <w:pStyle w:val="ListBullet"/>
      </w:pPr>
      <w:r>
        <w:rPr>
          <w:rFonts w:ascii="Calibri" w:hAnsi="Calibri"/>
          <w:b w:val="0"/>
          <w:i w:val="0"/>
          <w:color w:val="1F3142"/>
          <w:sz w:val="22"/>
        </w:rPr>
        <w:t>Governance, institutional, logistics, and operating-environment indicators</w:t>
      </w:r>
    </w:p>
    <w:p>
      <w:r>
        <w:t>Coverage and publication timing vary by country and source. Missing values remain explicit and affect confidence rather than being silently replaced with an average or an assumed risk level.</w:t>
      </w:r>
    </w:p>
    <w:p>
      <w:pPr>
        <w:pStyle w:val="Heading1"/>
      </w:pPr>
      <w:r>
        <w:t>5 Methodology Overview</w:t>
      </w:r>
    </w:p>
    <w:p>
      <w:r>
        <w:t>The model applies a documented sequence of semantic mapping, quality control, direction alignment, robust standardization, constrained weighting, dimension aggregation, coverage assessment, and publication controls. Internal parameters are governed and versioned but are not disclosed in this client statement.</w:t>
      </w:r>
    </w:p>
    <w:p>
      <w:pPr>
        <w:pStyle w:val="ListBullet"/>
      </w:pPr>
      <w:r>
        <w:rPr>
          <w:rFonts w:ascii="Calibri" w:hAnsi="Calibri"/>
          <w:b w:val="0"/>
          <w:i w:val="0"/>
          <w:color w:val="1F3142"/>
          <w:sz w:val="22"/>
        </w:rPr>
        <w:t>Indicators are assigned to defined country-intelligence concepts before use.</w:t>
      </w:r>
    </w:p>
    <w:p>
      <w:pPr>
        <w:pStyle w:val="ListBullet"/>
      </w:pPr>
      <w:r>
        <w:rPr>
          <w:rFonts w:ascii="Calibri" w:hAnsi="Calibri"/>
          <w:b w:val="0"/>
          <w:i w:val="0"/>
          <w:color w:val="1F3142"/>
          <w:sz w:val="22"/>
        </w:rPr>
        <w:t>Score directions are aligned so higher published values consistently mean stronger conditions.</w:t>
      </w:r>
    </w:p>
    <w:p>
      <w:pPr>
        <w:pStyle w:val="ListBullet"/>
      </w:pPr>
      <w:r>
        <w:rPr>
          <w:rFonts w:ascii="Calibri" w:hAnsi="Calibri"/>
          <w:b w:val="0"/>
          <w:i w:val="0"/>
          <w:color w:val="1F3142"/>
          <w:sz w:val="22"/>
        </w:rPr>
        <w:t>Extreme values are handled through robust, monotonic transformations.</w:t>
      </w:r>
    </w:p>
    <w:p>
      <w:pPr>
        <w:pStyle w:val="ListBullet"/>
      </w:pPr>
      <w:r>
        <w:rPr>
          <w:rFonts w:ascii="Calibri" w:hAnsi="Calibri"/>
          <w:b w:val="0"/>
          <w:i w:val="0"/>
          <w:color w:val="1F3142"/>
          <w:sz w:val="22"/>
        </w:rPr>
        <w:t>Weights are constrained by source, provider, and feature-family limits.</w:t>
      </w:r>
    </w:p>
    <w:p>
      <w:pPr>
        <w:pStyle w:val="ListBullet"/>
      </w:pPr>
      <w:r>
        <w:rPr>
          <w:rFonts w:ascii="Calibri" w:hAnsi="Calibri"/>
          <w:b w:val="0"/>
          <w:i w:val="0"/>
          <w:color w:val="1F3142"/>
          <w:sz w:val="22"/>
        </w:rPr>
        <w:t>Scores, confidence, and missingness are reported as separate outputs.</w:t>
      </w:r>
    </w:p>
    <w:p>
      <w:pPr>
        <w:pStyle w:val="ListBullet"/>
      </w:pPr>
      <w:r>
        <w:rPr>
          <w:rFonts w:ascii="Calibri" w:hAnsi="Calibri"/>
          <w:b w:val="0"/>
          <w:i w:val="0"/>
          <w:color w:val="1F3142"/>
          <w:sz w:val="22"/>
        </w:rPr>
        <w:t>An overall score is published only when required core dimensions are supported.</w:t>
      </w:r>
    </w:p>
    <w:p>
      <w:pPr>
        <w:pStyle w:val="Heading1"/>
      </w:pPr>
      <w:r>
        <w:t>6 Model Governance</w:t>
      </w:r>
    </w:p>
    <w:p>
      <w:r>
        <w:t>ApexInsight applies formal controls over versions, source inputs, calculation reproducibility, change approval, and monitoring. Each release is linked to an input and output manifest so material changes can be identified and reproduced.</w:t>
      </w:r>
    </w:p>
    <w:tbl>
      <w:tblPr>
        <w:tblW w:type="dxa" w:w="9360"/>
        <w:tblLayout w:type="fixed"/>
        <w:tblLook w:firstColumn="1" w:firstRow="1" w:lastColumn="0" w:lastRow="0" w:noHBand="0" w:noVBand="1" w:val="04A0"/>
        <w:tblInd w:w="120" w:type="dxa"/>
      </w:tblPr>
      <w:tblGrid>
        <w:gridCol w:w="2500"/>
        <w:gridCol w:w="6860"/>
      </w:tblGrid>
      <w:tr>
        <w:tc>
          <w:tcPr>
            <w:tcW w:type="dxa" w:w="2500"/>
            <w:tcMar>
              <w:top w:w="100" w:type="dxa"/>
              <w:start w:w="140" w:type="dxa"/>
              <w:bottom w:w="100" w:type="dxa"/>
              <w:end w:w="140" w:type="dxa"/>
            </w:tcMar>
            <w:vAlign w:val="center"/>
            <w:shd w:fill="DCEAF4"/>
          </w:tcPr>
          <w:p>
            <w:r>
              <w:rPr>
                <w:rFonts w:ascii="Calibri" w:hAnsi="Calibri"/>
                <w:b/>
                <w:i w:val="0"/>
                <w:color w:val="0B2942"/>
                <w:sz w:val="20"/>
              </w:rPr>
              <w:t>Control</w:t>
            </w:r>
          </w:p>
        </w:tc>
        <w:tc>
          <w:tcPr>
            <w:tcW w:type="dxa" w:w="6860"/>
            <w:tcMar>
              <w:top w:w="100" w:type="dxa"/>
              <w:start w:w="140" w:type="dxa"/>
              <w:bottom w:w="100" w:type="dxa"/>
              <w:end w:w="140" w:type="dxa"/>
            </w:tcMar>
            <w:vAlign w:val="center"/>
            <w:shd w:fill="DCEAF4"/>
          </w:tcPr>
          <w:p>
            <w:r>
              <w:rPr>
                <w:rFonts w:ascii="Calibri" w:hAnsi="Calibri"/>
                <w:b/>
                <w:i w:val="0"/>
                <w:color w:val="0B2942"/>
                <w:sz w:val="20"/>
              </w:rPr>
              <w:t>How it is applied</w:t>
            </w:r>
          </w:p>
        </w:tc>
      </w:tr>
      <w:tr>
        <w:tc>
          <w:tcPr>
            <w:tcW w:type="dxa" w:w="2500"/>
            <w:tcMar>
              <w:top w:w="100" w:type="dxa"/>
              <w:start w:w="140" w:type="dxa"/>
              <w:bottom w:w="100" w:type="dxa"/>
              <w:end w:w="140" w:type="dxa"/>
            </w:tcMar>
            <w:vAlign w:val="center"/>
          </w:tcPr>
          <w:p>
            <w:r>
              <w:rPr>
                <w:rFonts w:ascii="Calibri" w:hAnsi="Calibri"/>
                <w:b/>
                <w:i w:val="0"/>
                <w:color w:val="0B2942"/>
                <w:sz w:val="20"/>
              </w:rPr>
              <w:t>Version control</w:t>
            </w:r>
          </w:p>
        </w:tc>
        <w:tc>
          <w:tcPr>
            <w:tcW w:type="dxa" w:w="6860"/>
            <w:tcMar>
              <w:top w:w="100" w:type="dxa"/>
              <w:start w:w="140" w:type="dxa"/>
              <w:bottom w:w="100" w:type="dxa"/>
              <w:end w:w="140" w:type="dxa"/>
            </w:tcMar>
            <w:vAlign w:val="center"/>
          </w:tcPr>
          <w:p>
            <w:r>
              <w:rPr>
                <w:rFonts w:ascii="Calibri" w:hAnsi="Calibri"/>
                <w:b w:val="0"/>
                <w:i w:val="0"/>
                <w:color w:val="1F3142"/>
                <w:sz w:val="20"/>
              </w:rPr>
              <w:t>Every approved release carries a unique model and artifact version.</w:t>
            </w:r>
          </w:p>
        </w:tc>
      </w:tr>
      <w:tr>
        <w:tc>
          <w:tcPr>
            <w:tcW w:type="dxa" w:w="2500"/>
            <w:tcMar>
              <w:top w:w="100" w:type="dxa"/>
              <w:start w:w="140" w:type="dxa"/>
              <w:bottom w:w="100" w:type="dxa"/>
              <w:end w:w="140" w:type="dxa"/>
            </w:tcMar>
            <w:vAlign w:val="center"/>
          </w:tcPr>
          <w:p>
            <w:r>
              <w:rPr>
                <w:rFonts w:ascii="Calibri" w:hAnsi="Calibri"/>
                <w:b/>
                <w:i w:val="0"/>
                <w:color w:val="0B2942"/>
                <w:sz w:val="20"/>
              </w:rPr>
              <w:t>Data validation</w:t>
            </w:r>
          </w:p>
        </w:tc>
        <w:tc>
          <w:tcPr>
            <w:tcW w:type="dxa" w:w="6860"/>
            <w:tcMar>
              <w:top w:w="100" w:type="dxa"/>
              <w:start w:w="140" w:type="dxa"/>
              <w:bottom w:w="100" w:type="dxa"/>
              <w:end w:w="140" w:type="dxa"/>
            </w:tcMar>
            <w:vAlign w:val="center"/>
          </w:tcPr>
          <w:p>
            <w:r>
              <w:rPr>
                <w:rFonts w:ascii="Calibri" w:hAnsi="Calibri"/>
                <w:b w:val="0"/>
                <w:i w:val="0"/>
                <w:color w:val="1F3142"/>
                <w:sz w:val="20"/>
              </w:rPr>
              <w:t>Country keys, ranges, null rules, mappings, and source lineage are tested.</w:t>
            </w:r>
          </w:p>
        </w:tc>
      </w:tr>
      <w:tr>
        <w:tc>
          <w:tcPr>
            <w:tcW w:type="dxa" w:w="2500"/>
            <w:tcMar>
              <w:top w:w="100" w:type="dxa"/>
              <w:start w:w="140" w:type="dxa"/>
              <w:bottom w:w="100" w:type="dxa"/>
              <w:end w:w="140" w:type="dxa"/>
            </w:tcMar>
            <w:vAlign w:val="center"/>
          </w:tcPr>
          <w:p>
            <w:r>
              <w:rPr>
                <w:rFonts w:ascii="Calibri" w:hAnsi="Calibri"/>
                <w:b/>
                <w:i w:val="0"/>
                <w:color w:val="0B2942"/>
                <w:sz w:val="20"/>
              </w:rPr>
              <w:t>Reproducibility</w:t>
            </w:r>
          </w:p>
        </w:tc>
        <w:tc>
          <w:tcPr>
            <w:tcW w:type="dxa" w:w="6860"/>
            <w:tcMar>
              <w:top w:w="100" w:type="dxa"/>
              <w:start w:w="140" w:type="dxa"/>
              <w:bottom w:w="100" w:type="dxa"/>
              <w:end w:w="140" w:type="dxa"/>
            </w:tcMar>
            <w:vAlign w:val="center"/>
          </w:tcPr>
          <w:p>
            <w:r>
              <w:rPr>
                <w:rFonts w:ascii="Calibri" w:hAnsi="Calibri"/>
                <w:b w:val="0"/>
                <w:i w:val="0"/>
                <w:color w:val="1F3142"/>
                <w:sz w:val="20"/>
              </w:rPr>
              <w:t>Equivalent inputs and configuration must produce equivalent published outputs.</w:t>
            </w:r>
          </w:p>
        </w:tc>
      </w:tr>
      <w:tr>
        <w:tc>
          <w:tcPr>
            <w:tcW w:type="dxa" w:w="2500"/>
            <w:tcMar>
              <w:top w:w="100" w:type="dxa"/>
              <w:start w:w="140" w:type="dxa"/>
              <w:bottom w:w="100" w:type="dxa"/>
              <w:end w:w="140" w:type="dxa"/>
            </w:tcMar>
            <w:vAlign w:val="center"/>
          </w:tcPr>
          <w:p>
            <w:r>
              <w:rPr>
                <w:rFonts w:ascii="Calibri" w:hAnsi="Calibri"/>
                <w:b/>
                <w:i w:val="0"/>
                <w:color w:val="0B2942"/>
                <w:sz w:val="20"/>
              </w:rPr>
              <w:t>Change management</w:t>
            </w:r>
          </w:p>
        </w:tc>
        <w:tc>
          <w:tcPr>
            <w:tcW w:type="dxa" w:w="6860"/>
            <w:tcMar>
              <w:top w:w="100" w:type="dxa"/>
              <w:start w:w="140" w:type="dxa"/>
              <w:bottom w:w="100" w:type="dxa"/>
              <w:end w:w="140" w:type="dxa"/>
            </w:tcMar>
            <w:vAlign w:val="center"/>
          </w:tcPr>
          <w:p>
            <w:r>
              <w:rPr>
                <w:rFonts w:ascii="Calibri" w:hAnsi="Calibri"/>
                <w:b w:val="0"/>
                <w:i w:val="0"/>
                <w:color w:val="1F3142"/>
                <w:sz w:val="20"/>
              </w:rPr>
              <w:t>Methodology or score changes require governed review and a new model version.</w:t>
            </w:r>
          </w:p>
        </w:tc>
      </w:tr>
      <w:tr>
        <w:tc>
          <w:tcPr>
            <w:tcW w:type="dxa" w:w="2500"/>
            <w:tcMar>
              <w:top w:w="100" w:type="dxa"/>
              <w:start w:w="140" w:type="dxa"/>
              <w:bottom w:w="100" w:type="dxa"/>
              <w:end w:w="140" w:type="dxa"/>
            </w:tcMar>
            <w:vAlign w:val="center"/>
          </w:tcPr>
          <w:p>
            <w:r>
              <w:rPr>
                <w:rFonts w:ascii="Calibri" w:hAnsi="Calibri"/>
                <w:b/>
                <w:i w:val="0"/>
                <w:color w:val="0B2942"/>
                <w:sz w:val="20"/>
              </w:rPr>
              <w:t>Monitoring</w:t>
            </w:r>
          </w:p>
        </w:tc>
        <w:tc>
          <w:tcPr>
            <w:tcW w:type="dxa" w:w="6860"/>
            <w:tcMar>
              <w:top w:w="100" w:type="dxa"/>
              <w:start w:w="140" w:type="dxa"/>
              <w:bottom w:w="100" w:type="dxa"/>
              <w:end w:w="140" w:type="dxa"/>
            </w:tcMar>
            <w:vAlign w:val="center"/>
          </w:tcPr>
          <w:p>
            <w:r>
              <w:rPr>
                <w:rFonts w:ascii="Calibri" w:hAnsi="Calibri"/>
                <w:b w:val="0"/>
                <w:i w:val="0"/>
                <w:color w:val="1F3142"/>
                <w:sz w:val="20"/>
              </w:rPr>
              <w:t>Coverage, freshness, score distribution, drift, and feedback are monitored.</w:t>
            </w:r>
          </w:p>
        </w:tc>
      </w:tr>
    </w:tbl>
    <w:p>
      <w:pPr>
        <w:pStyle w:val="Heading1"/>
      </w:pPr>
      <w:r>
        <w:t>7 Compliance Boundary</w:t>
      </w:r>
    </w:p>
    <w:tbl>
      <w:tblPr>
        <w:tblW w:type="dxa" w:w="9360"/>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vAlign w:val="center"/>
            <w:shd w:fill="E8F6F4"/>
          </w:tcPr>
          <w:p>
            <w:pPr>
              <w:spacing w:after="0"/>
            </w:pPr>
            <w:r>
              <w:rPr>
                <w:rFonts w:ascii="Calibri" w:hAnsi="Calibri"/>
                <w:b/>
                <w:i w:val="0"/>
                <w:color w:val="0E7C7B"/>
                <w:sz w:val="21"/>
              </w:rPr>
              <w:t xml:space="preserve">WHAT IT IS  </w:t>
            </w:r>
            <w:r>
              <w:rPr>
                <w:rFonts w:ascii="Calibri" w:hAnsi="Calibri"/>
                <w:b w:val="0"/>
                <w:i w:val="0"/>
                <w:color w:val="0B2942"/>
                <w:sz w:val="21"/>
              </w:rPr>
              <w:t>A business decision-support indicator for country-level comparison, prioritization, monitoring, and structured commercial review.</w:t>
            </w:r>
          </w:p>
        </w:tc>
      </w:tr>
    </w:tbl>
    <w:p>
      <w:pPr>
        <w:spacing w:after="40"/>
      </w:pPr>
    </w:p>
    <w:tbl>
      <w:tblPr>
        <w:tblW w:type="dxa" w:w="9360"/>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vAlign w:val="center"/>
            <w:shd w:fill="FFF7E6"/>
          </w:tcPr>
          <w:p>
            <w:pPr>
              <w:spacing w:after="0"/>
            </w:pPr>
            <w:r>
              <w:rPr>
                <w:rFonts w:ascii="Calibri" w:hAnsi="Calibri"/>
                <w:b/>
                <w:i w:val="0"/>
                <w:color w:val="0E7C7B"/>
                <w:sz w:val="21"/>
              </w:rPr>
              <w:t xml:space="preserve">WHAT IT IS NOT  </w:t>
            </w:r>
            <w:r>
              <w:rPr>
                <w:rFonts w:ascii="Calibri" w:hAnsi="Calibri"/>
                <w:b w:val="0"/>
                <w:i w:val="0"/>
                <w:color w:val="0B2942"/>
                <w:sz w:val="21"/>
              </w:rPr>
              <w:t>It is not a credit rating, investment rating, default prediction, regulatory capital model, legal opinion, sanctions determination, or entity-level credit decision.</w:t>
            </w:r>
          </w:p>
        </w:tc>
      </w:tr>
    </w:tbl>
    <w:p>
      <w:pPr>
        <w:spacing w:after="40"/>
      </w:pPr>
    </w:p>
    <w:p>
      <w:r>
        <w:t>Users should combine the indicator with buyer, supplier, bank, product, transaction, legal, sanctions, and local-market due diligence appropriate to the decision.</w:t>
      </w:r>
    </w:p>
    <w:p>
      <w:pPr>
        <w:pStyle w:val="Heading1"/>
      </w:pPr>
      <w:r>
        <w:t>8 Limitations</w:t>
      </w:r>
    </w:p>
    <w:p>
      <w:pPr>
        <w:pStyle w:val="ListBullet"/>
      </w:pPr>
      <w:r>
        <w:rPr>
          <w:rFonts w:ascii="Calibri" w:hAnsi="Calibri"/>
          <w:b w:val="0"/>
          <w:i w:val="0"/>
          <w:color w:val="1F3142"/>
          <w:sz w:val="22"/>
        </w:rPr>
        <w:t>Data coverage and reference periods differ across countries and indicators.</w:t>
      </w:r>
    </w:p>
    <w:p>
      <w:pPr>
        <w:pStyle w:val="ListBullet"/>
      </w:pPr>
      <w:r>
        <w:rPr>
          <w:rFonts w:ascii="Calibri" w:hAnsi="Calibri"/>
          <w:b w:val="0"/>
          <w:i w:val="0"/>
          <w:color w:val="1F3142"/>
          <w:sz w:val="22"/>
        </w:rPr>
        <w:t>Official macroeconomic data can be published with a lag and may be revised.</w:t>
      </w:r>
    </w:p>
    <w:p>
      <w:pPr>
        <w:pStyle w:val="ListBullet"/>
      </w:pPr>
      <w:r>
        <w:rPr>
          <w:rFonts w:ascii="Calibri" w:hAnsi="Calibri"/>
          <w:b w:val="0"/>
          <w:i w:val="0"/>
          <w:color w:val="1F3142"/>
          <w:sz w:val="22"/>
        </w:rPr>
        <w:t>Country-level indicators cannot capture every sector, company, bank, product, or transaction exception.</w:t>
      </w:r>
    </w:p>
    <w:p>
      <w:pPr>
        <w:pStyle w:val="ListBullet"/>
      </w:pPr>
      <w:r>
        <w:rPr>
          <w:rFonts w:ascii="Calibri" w:hAnsi="Calibri"/>
          <w:b w:val="0"/>
          <w:i w:val="0"/>
          <w:color w:val="1F3142"/>
          <w:sz w:val="22"/>
        </w:rPr>
        <w:t>Trade Execution currently includes proxy evidence and must not be read as confirmed policy restriction evidence.</w:t>
      </w:r>
    </w:p>
    <w:p>
      <w:pPr>
        <w:pStyle w:val="ListBullet"/>
      </w:pPr>
      <w:r>
        <w:rPr>
          <w:rFonts w:ascii="Calibri" w:hAnsi="Calibri"/>
          <w:b w:val="0"/>
          <w:i w:val="0"/>
          <w:color w:val="1F3142"/>
          <w:sz w:val="22"/>
        </w:rPr>
        <w:t>Confidence grades describe evidence support and do not represent country risk bands.</w:t>
      </w:r>
    </w:p>
    <w:p>
      <w:pPr>
        <w:pStyle w:val="ListBullet"/>
      </w:pPr>
      <w:r>
        <w:rPr>
          <w:rFonts w:ascii="Calibri" w:hAnsi="Calibri"/>
          <w:b w:val="0"/>
          <w:i w:val="0"/>
          <w:color w:val="1F3142"/>
          <w:sz w:val="22"/>
        </w:rPr>
        <w:t>The framework cannot replace expert judgement or transaction-specific due diligence.</w:t>
      </w:r>
    </w:p>
    <w:p/>
    <w:tbl>
      <w:tblPr>
        <w:tblW w:type="dxa" w:w="9360"/>
        <w:tblLayout w:type="fixed"/>
        <w:tblLook w:firstColumn="1" w:firstRow="1" w:lastColumn="0" w:lastRow="0" w:noHBand="0" w:noVBand="1" w:val="04A0"/>
        <w:tblInd w:w="120" w:type="dxa"/>
      </w:tblPr>
      <w:tblGrid>
        <w:gridCol w:w="9360"/>
      </w:tblGrid>
      <w:tr>
        <w:tc>
          <w:tcPr>
            <w:tcW w:type="dxa" w:w="9360"/>
            <w:tcMar>
              <w:top w:w="100" w:type="dxa"/>
              <w:start w:w="140" w:type="dxa"/>
              <w:bottom w:w="100" w:type="dxa"/>
              <w:end w:w="140" w:type="dxa"/>
            </w:tcMar>
            <w:vAlign w:val="center"/>
            <w:shd w:fill="EEF4F8"/>
          </w:tcPr>
          <w:p>
            <w:pPr>
              <w:spacing w:after="0"/>
            </w:pPr>
            <w:r>
              <w:rPr>
                <w:rFonts w:ascii="Calibri" w:hAnsi="Calibri"/>
                <w:b/>
                <w:i w:val="0"/>
                <w:color w:val="0E7C7B"/>
                <w:sz w:val="21"/>
              </w:rPr>
              <w:t xml:space="preserve">RELEASE NOTE  </w:t>
            </w:r>
            <w:r>
              <w:rPr>
                <w:rFonts w:ascii="Calibri" w:hAnsi="Calibri"/>
                <w:b w:val="0"/>
                <w:i w:val="0"/>
                <w:color w:val="0B2942"/>
                <w:sz w:val="21"/>
              </w:rPr>
              <w:t>Model version 1.0.0-rc1 is frozen for this package. The commercial release does not change any country score, dimension score, band, normalization, weight, or rank.</w:t>
            </w:r>
          </w:p>
        </w:tc>
      </w:tr>
    </w:tbl>
    <w:p>
      <w:pPr>
        <w:spacing w:after="40"/>
      </w:pPr>
    </w:p>
    <w:sectPr w:rsidR="00FC693F" w:rsidRPr="0006063C" w:rsidSect="00034616">
      <w:headerReference w:type="default" r:id="rId9"/>
      <w:footerReference w:type="default" r:id="rId10"/>
      <w:pgSz w:w="12240" w:h="15840"/>
      <w:pgMar w:top="1224"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b w:val="0"/>
        <w:i w:val="0"/>
        <w:color w:val="5C7082"/>
        <w:sz w:val="18"/>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Style w:val="TableGrid"/>
      <w:tblW w:type="dxa" w:w="9360"/>
      <w:tblLayout w:type="fixed"/>
      <w:tblLook w:firstColumn="1" w:firstRow="1" w:lastColumn="0" w:lastRow="0" w:noHBand="0" w:noVBand="1" w:val="04A0"/>
      <w:tblInd w:w="0" w:type="dxa"/>
    </w:tblPr>
    <w:tblGrid>
      <w:gridCol w:w="5600"/>
      <w:gridCol w:w="3760"/>
    </w:tblGrid>
    <w:tr>
      <w:tc>
        <w:tcPr>
          <w:tcW w:type="dxa" w:w="5600"/>
          <w:tcMar>
            <w:top w:w="100" w:type="dxa"/>
            <w:start w:w="140" w:type="dxa"/>
            <w:bottom w:w="100" w:type="dxa"/>
            <w:end w:w="140" w:type="dxa"/>
          </w:tcMar>
          <w:vAlign w:val="center"/>
          <w:shd w:fill="FFFFFF"/>
          <w:tcBorders>
            <w:top w:val="nil"/>
            <w:left w:val="nil"/>
            <w:bottom w:val="nil"/>
            <w:right w:val="nil"/>
            <w:insideH w:val="nil"/>
            <w:insideV w:val="nil"/>
          </w:tcBorders>
        </w:tcPr>
        <w:p>
          <w:r>
            <w:rPr>
              <w:rFonts w:ascii="Calibri" w:hAnsi="Calibri"/>
              <w:b/>
              <w:i w:val="0"/>
              <w:color w:val="5C7082"/>
              <w:sz w:val="17"/>
            </w:rPr>
            <w:t>ApexInsight Global Country Intelligence</w:t>
          </w:r>
        </w:p>
      </w:tc>
      <w:tc>
        <w:tcPr>
          <w:tcW w:type="dxa" w:w="3760"/>
          <w:tcMar>
            <w:top w:w="100" w:type="dxa"/>
            <w:start w:w="140" w:type="dxa"/>
            <w:bottom w:w="100" w:type="dxa"/>
            <w:end w:w="140" w:type="dxa"/>
          </w:tcMar>
          <w:vAlign w:val="center"/>
          <w:shd w:fill="FFFFFF"/>
          <w:tcBorders>
            <w:top w:val="nil"/>
            <w:left w:val="nil"/>
            <w:bottom w:val="nil"/>
            <w:right w:val="nil"/>
            <w:insideH w:val="nil"/>
            <w:insideV w:val="nil"/>
          </w:tcBorders>
        </w:tcPr>
        <w:p>
          <w:pPr>
            <w:jc w:val="right"/>
          </w:pPr>
          <w:r>
            <w:rPr>
              <w:rFonts w:ascii="Calibri" w:hAnsi="Calibri"/>
              <w:b w:val="0"/>
              <w:i w:val="0"/>
              <w:color w:val="5C7082"/>
              <w:sz w:val="17"/>
            </w:rPr>
            <w:t>Methodology &amp; Governance Statement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color w:val="1F314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06B9C"/>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06B9C"/>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0B2942"/>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0"/>
      <w:contextualSpacing/>
    </w:pPr>
    <w:rPr>
      <w:rFonts w:asciiTheme="majorHAnsi" w:eastAsiaTheme="majorEastAsia" w:hAnsiTheme="majorHAnsi" w:cstheme="majorBidi" w:ascii="Calibri" w:hAnsi="Calibri"/>
      <w:b/>
      <w:color w:val="0B2942"/>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360"/>
    </w:pPr>
    <w:rPr>
      <w:rFonts w:asciiTheme="majorHAnsi" w:eastAsiaTheme="majorEastAsia" w:hAnsiTheme="majorHAnsi" w:cstheme="majorBidi" w:ascii="Calibri" w:hAnsi="Calibri"/>
      <w:b w:val="0"/>
      <w:i/>
      <w:iCs/>
      <w:color w:val="5C7082"/>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20" w:line="264" w:lineRule="auto"/>
      <w:ind w:left="720" w:hanging="360"/>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llout">
    <w:name w:val="Callout"/>
    <w:pPr>
      <w:spacing w:before="120" w:after="200"/>
      <w:ind w:left="259" w:right="259"/>
    </w:pPr>
    <w:rPr>
      <w:rFonts w:ascii="Calibri" w:hAnsi="Calibri"/>
      <w:color w:val="0B294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