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680" w:after="200"/>
      </w:pPr>
      <w:r>
        <w:rPr>
          <w:rFonts w:ascii="Calibri" w:hAnsi="Calibri"/>
          <w:b/>
          <w:i w:val="0"/>
          <w:color w:val="0E7C7B"/>
          <w:sz w:val="20"/>
        </w:rPr>
        <w:t>CLIENT COMPLIANCE NOTE</w:t>
      </w:r>
    </w:p>
    <w:p>
      <w:pPr>
        <w:pStyle w:val="Title"/>
        <w:spacing w:after="160"/>
      </w:pPr>
      <w:r>
        <w:rPr>
          <w:rFonts w:ascii="Calibri" w:hAnsi="Calibri"/>
          <w:b/>
          <w:i w:val="0"/>
          <w:color w:val="0B2942"/>
          <w:sz w:val="56"/>
        </w:rPr>
        <w:t>Country Intelligence Compliance Statement</w:t>
      </w:r>
    </w:p>
    <w:p>
      <w:pPr>
        <w:pStyle w:val="Subtitle"/>
      </w:pPr>
      <w:r>
        <w:rPr>
          <w:rFonts w:ascii="Calibri" w:hAnsi="Calibri"/>
          <w:b w:val="0"/>
          <w:i w:val="0"/>
          <w:color w:val="5C7082"/>
          <w:sz w:val="26"/>
        </w:rPr>
        <w:t>Classification, intended use, and decision boundaries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100"/>
        <w:gridCol w:w="3100"/>
        <w:gridCol w:w="3160"/>
      </w:tblGrid>
      <w:tr>
        <w:tc>
          <w:tcPr>
            <w:tcW w:type="dxa" w:w="31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E8F6F4"/>
          </w:tcPr>
          <w:p>
            <w:pPr>
              <w:spacing w:after="40"/>
            </w:pPr>
            <w:r>
              <w:rPr>
                <w:rFonts w:ascii="Calibri" w:hAnsi="Calibri"/>
                <w:b/>
                <w:i w:val="0"/>
                <w:color w:val="0E7C7B"/>
                <w:sz w:val="17"/>
              </w:rPr>
              <w:t>MODEL</w:t>
              <w:br/>
            </w:r>
            <w:r>
              <w:rPr>
                <w:rFonts w:ascii="Calibri" w:hAnsi="Calibri"/>
                <w:b/>
                <w:i w:val="0"/>
                <w:color w:val="0B2942"/>
                <w:sz w:val="21"/>
              </w:rPr>
              <w:t>1.0.0-rc1</w:t>
            </w:r>
          </w:p>
        </w:tc>
        <w:tc>
          <w:tcPr>
            <w:tcW w:type="dxa" w:w="31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FFF7E6"/>
          </w:tcPr>
          <w:p>
            <w:pPr>
              <w:spacing w:after="40"/>
            </w:pPr>
            <w:r>
              <w:rPr>
                <w:rFonts w:ascii="Calibri" w:hAnsi="Calibri"/>
                <w:b/>
                <w:i w:val="0"/>
                <w:color w:val="0E7C7B"/>
                <w:sz w:val="17"/>
              </w:rPr>
              <w:t>STATUS</w:t>
              <w:br/>
            </w:r>
            <w:r>
              <w:rPr>
                <w:rFonts w:ascii="Calibri" w:hAnsi="Calibri"/>
                <w:b/>
                <w:i w:val="0"/>
                <w:color w:val="0B2942"/>
                <w:sz w:val="21"/>
              </w:rPr>
              <w:t>Limited client release</w:t>
            </w:r>
          </w:p>
        </w:tc>
        <w:tc>
          <w:tcPr>
            <w:tcW w:type="dxa" w:w="31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E8F6F4"/>
          </w:tcPr>
          <w:p>
            <w:pPr>
              <w:spacing w:after="40"/>
            </w:pPr>
            <w:r>
              <w:rPr>
                <w:rFonts w:ascii="Calibri" w:hAnsi="Calibri"/>
                <w:b/>
                <w:i w:val="0"/>
                <w:color w:val="0E7C7B"/>
                <w:sz w:val="17"/>
              </w:rPr>
              <w:t>PURPOSE</w:t>
              <w:br/>
            </w:r>
            <w:r>
              <w:rPr>
                <w:rFonts w:ascii="Calibri" w:hAnsi="Calibri"/>
                <w:b/>
                <w:i w:val="0"/>
                <w:color w:val="0B2942"/>
                <w:sz w:val="21"/>
              </w:rPr>
              <w:t>Business decision support</w:t>
            </w:r>
          </w:p>
        </w:tc>
      </w:tr>
    </w:tbl>
    <w:p/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FFF7E6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0E7C7B"/>
                <w:sz w:val="21"/>
              </w:rPr>
              <w:t xml:space="preserve">SHORT ANSWER  </w:t>
            </w:r>
            <w:r>
              <w:rPr>
                <w:rFonts w:ascii="Calibri" w:hAnsi="Calibri"/>
                <w:b w:val="0"/>
                <w:i w:val="0"/>
                <w:color w:val="0B2942"/>
                <w:sz w:val="21"/>
              </w:rPr>
              <w:t>This country intelligence indicator is designed for business decision support and does not represent a credit rating, investment rating, or default prediction.</w:t>
            </w:r>
          </w:p>
        </w:tc>
      </w:tr>
    </w:tbl>
    <w:p>
      <w:pPr>
        <w:spacing w:after="40"/>
      </w:pPr>
    </w:p>
    <w:p>
      <w:pPr>
        <w:pStyle w:val="Heading1"/>
      </w:pPr>
      <w:r>
        <w:t>1 Classification</w:t>
      </w:r>
    </w:p>
    <w:p>
      <w:r>
        <w:t>The ApexInsight Global Country Intelligence Model is a country-level business analytics and decision-support indicator. It organizes public and licensed country information into a consistent five-dimensional comparison framework for commercial use.</w:t>
      </w:r>
    </w:p>
    <w:p>
      <w:r>
        <w:t>It is not a credit rating. It is not issued as an investment rating, credit opinion, default prediction, or regulatory capital model. ApexInsight does not hold the output out as an assessment of a specific obligor's capacity or willingness to meet a financial obligation.</w:t>
      </w:r>
    </w:p>
    <w:p>
      <w:pPr>
        <w:pStyle w:val="Heading1"/>
      </w:pPr>
      <w:r>
        <w:t>2 Intended Uses</w:t>
      </w:r>
    </w:p>
    <w:p>
      <w:pPr>
        <w:pStyle w:val="ListBullet"/>
      </w:pPr>
      <w:r>
        <w:rPr>
          <w:rFonts w:ascii="Calibri" w:hAnsi="Calibri"/>
          <w:b w:val="0"/>
          <w:i w:val="0"/>
          <w:color w:val="1F3142"/>
          <w:sz w:val="22"/>
        </w:rPr>
        <w:t>International trade risk screening and country portfolio comparison</w:t>
      </w:r>
    </w:p>
    <w:p>
      <w:pPr>
        <w:pStyle w:val="ListBullet"/>
      </w:pPr>
      <w:r>
        <w:rPr>
          <w:rFonts w:ascii="Calibri" w:hAnsi="Calibri"/>
          <w:b w:val="0"/>
          <w:i w:val="0"/>
          <w:color w:val="1F3142"/>
          <w:sz w:val="22"/>
        </w:rPr>
        <w:t>Overseas market-entry and expansion planning</w:t>
      </w:r>
    </w:p>
    <w:p>
      <w:pPr>
        <w:pStyle w:val="ListBullet"/>
      </w:pPr>
      <w:r>
        <w:rPr>
          <w:rFonts w:ascii="Calibri" w:hAnsi="Calibri"/>
          <w:b w:val="0"/>
          <w:i w:val="0"/>
          <w:color w:val="1F3142"/>
          <w:sz w:val="22"/>
        </w:rPr>
        <w:t>Supplier and customer country-context review</w:t>
      </w:r>
    </w:p>
    <w:p>
      <w:pPr>
        <w:pStyle w:val="ListBullet"/>
      </w:pPr>
      <w:r>
        <w:rPr>
          <w:rFonts w:ascii="Calibri" w:hAnsi="Calibri"/>
          <w:b w:val="0"/>
          <w:i w:val="0"/>
          <w:color w:val="1F3142"/>
          <w:sz w:val="22"/>
        </w:rPr>
        <w:t>Cross-border commercial planning and monitoring</w:t>
      </w:r>
    </w:p>
    <w:p>
      <w:pPr>
        <w:pStyle w:val="ListBullet"/>
      </w:pPr>
      <w:r>
        <w:rPr>
          <w:rFonts w:ascii="Calibri" w:hAnsi="Calibri"/>
          <w:b w:val="0"/>
          <w:i w:val="0"/>
          <w:color w:val="1F3142"/>
          <w:sz w:val="22"/>
        </w:rPr>
        <w:t>Prioritization of markets for further expert due diligence</w:t>
      </w:r>
    </w:p>
    <w:p>
      <w:pPr>
        <w:pStyle w:val="Heading1"/>
      </w:pPr>
      <w:r>
        <w:t>3 Uses Requiring Separate Review</w:t>
      </w:r>
    </w:p>
    <w:p>
      <w:pPr>
        <w:pStyle w:val="ListBullet"/>
      </w:pPr>
      <w:r>
        <w:rPr>
          <w:rFonts w:ascii="Calibri" w:hAnsi="Calibri"/>
          <w:b w:val="0"/>
          <w:i w:val="0"/>
          <w:color w:val="1F3142"/>
          <w:sz w:val="22"/>
        </w:rPr>
        <w:t>Buyer- or supplier-specific credit approval and credit limits</w:t>
      </w:r>
    </w:p>
    <w:p>
      <w:pPr>
        <w:pStyle w:val="ListBullet"/>
      </w:pPr>
      <w:r>
        <w:rPr>
          <w:rFonts w:ascii="Calibri" w:hAnsi="Calibri"/>
          <w:b w:val="0"/>
          <w:i w:val="0"/>
          <w:color w:val="1F3142"/>
          <w:sz w:val="22"/>
        </w:rPr>
        <w:t>Bank, insurer, guarantor, or counterparty credit assessment</w:t>
      </w:r>
    </w:p>
    <w:p>
      <w:pPr>
        <w:pStyle w:val="ListBullet"/>
      </w:pPr>
      <w:r>
        <w:rPr>
          <w:rFonts w:ascii="Calibri" w:hAnsi="Calibri"/>
          <w:b w:val="0"/>
          <w:i w:val="0"/>
          <w:color w:val="1F3142"/>
          <w:sz w:val="22"/>
        </w:rPr>
        <w:t>Investment selection, suitability, or valuation</w:t>
      </w:r>
    </w:p>
    <w:p>
      <w:pPr>
        <w:pStyle w:val="ListBullet"/>
      </w:pPr>
      <w:r>
        <w:rPr>
          <w:rFonts w:ascii="Calibri" w:hAnsi="Calibri"/>
          <w:b w:val="0"/>
          <w:i w:val="0"/>
          <w:color w:val="1F3142"/>
          <w:sz w:val="22"/>
        </w:rPr>
        <w:t>Sanctions, export-control, anti-money-laundering, or legal eligibility decisions</w:t>
      </w:r>
    </w:p>
    <w:p>
      <w:pPr>
        <w:pStyle w:val="ListBullet"/>
      </w:pPr>
      <w:r>
        <w:rPr>
          <w:rFonts w:ascii="Calibri" w:hAnsi="Calibri"/>
          <w:b w:val="0"/>
          <w:i w:val="0"/>
          <w:color w:val="1F3142"/>
          <w:sz w:val="22"/>
        </w:rPr>
        <w:t>Regulatory capital, accounting impairment, or prudential classification</w:t>
      </w:r>
    </w:p>
    <w:p>
      <w:pPr>
        <w:pStyle w:val="ListBullet"/>
      </w:pPr>
      <w:r>
        <w:rPr>
          <w:rFonts w:ascii="Calibri" w:hAnsi="Calibri"/>
          <w:b w:val="0"/>
          <w:i w:val="0"/>
          <w:color w:val="1F3142"/>
          <w:sz w:val="22"/>
        </w:rPr>
        <w:t>Transaction-specific tax, legal, licensing, or local-regulatory advice</w:t>
      </w:r>
    </w:p>
    <w:p>
      <w:pPr>
        <w:pStyle w:val="Heading1"/>
      </w:pPr>
      <w:r>
        <w:t>4 Interpretation Controls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400"/>
        <w:gridCol w:w="6960"/>
      </w:tblGrid>
      <w:tr>
        <w:tc>
          <w:tcPr>
            <w:tcW w:type="dxa" w:w="24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DCEAF4"/>
          </w:tcPr>
          <w:p>
            <w:r>
              <w:rPr>
                <w:rFonts w:ascii="Calibri" w:hAnsi="Calibri"/>
                <w:b/>
                <w:i w:val="0"/>
                <w:color w:val="0B2942"/>
                <w:sz w:val="20"/>
              </w:rPr>
              <w:t>Control</w:t>
            </w:r>
          </w:p>
        </w:tc>
        <w:tc>
          <w:tcPr>
            <w:tcW w:type="dxa" w:w="69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DCEAF4"/>
          </w:tcPr>
          <w:p>
            <w:r>
              <w:rPr>
                <w:rFonts w:ascii="Calibri" w:hAnsi="Calibri"/>
                <w:b/>
                <w:i w:val="0"/>
                <w:color w:val="0B2942"/>
                <w:sz w:val="20"/>
              </w:rPr>
              <w:t>Required interpretation</w:t>
            </w:r>
          </w:p>
        </w:tc>
      </w:tr>
      <w:tr>
        <w:tc>
          <w:tcPr>
            <w:tcW w:type="dxa" w:w="24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rPr>
                <w:rFonts w:ascii="Calibri" w:hAnsi="Calibri"/>
                <w:b/>
                <w:i w:val="0"/>
                <w:color w:val="0B2942"/>
                <w:sz w:val="20"/>
              </w:rPr>
              <w:t>Score direction</w:t>
            </w:r>
          </w:p>
        </w:tc>
        <w:tc>
          <w:tcPr>
            <w:tcW w:type="dxa" w:w="69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F3142"/>
                <w:sz w:val="20"/>
              </w:rPr>
              <w:t>Higher values indicate stronger or more supportive country conditions.</w:t>
            </w:r>
          </w:p>
        </w:tc>
      </w:tr>
      <w:tr>
        <w:tc>
          <w:tcPr>
            <w:tcW w:type="dxa" w:w="24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rPr>
                <w:rFonts w:ascii="Calibri" w:hAnsi="Calibri"/>
                <w:b/>
                <w:i w:val="0"/>
                <w:color w:val="0B2942"/>
                <w:sz w:val="20"/>
              </w:rPr>
              <w:t>Missing data</w:t>
            </w:r>
          </w:p>
        </w:tc>
        <w:tc>
          <w:tcPr>
            <w:tcW w:type="dxa" w:w="69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F3142"/>
                <w:sz w:val="20"/>
              </w:rPr>
              <w:t>Null is not converted into zero, best, worst, or an assumed observation.</w:t>
            </w:r>
          </w:p>
        </w:tc>
      </w:tr>
      <w:tr>
        <w:tc>
          <w:tcPr>
            <w:tcW w:type="dxa" w:w="24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rPr>
                <w:rFonts w:ascii="Calibri" w:hAnsi="Calibri"/>
                <w:b/>
                <w:i w:val="0"/>
                <w:color w:val="0B2942"/>
                <w:sz w:val="20"/>
              </w:rPr>
              <w:t>Confidence</w:t>
            </w:r>
          </w:p>
        </w:tc>
        <w:tc>
          <w:tcPr>
            <w:tcW w:type="dxa" w:w="69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F3142"/>
                <w:sz w:val="20"/>
              </w:rPr>
              <w:t>Confidence reflects evidence coverage and quality, not risk.</w:t>
            </w:r>
          </w:p>
        </w:tc>
      </w:tr>
      <w:tr>
        <w:tc>
          <w:tcPr>
            <w:tcW w:type="dxa" w:w="24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rPr>
                <w:rFonts w:ascii="Calibri" w:hAnsi="Calibri"/>
                <w:b/>
                <w:i w:val="0"/>
                <w:color w:val="0B2942"/>
                <w:sz w:val="20"/>
              </w:rPr>
              <w:t>Opportunity</w:t>
            </w:r>
          </w:p>
        </w:tc>
        <w:tc>
          <w:tcPr>
            <w:tcW w:type="dxa" w:w="69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F3142"/>
                <w:sz w:val="20"/>
              </w:rPr>
              <w:t>Market opportunity is separate from country risk and cannot remove legal restrictions.</w:t>
            </w:r>
          </w:p>
        </w:tc>
      </w:tr>
      <w:tr>
        <w:tc>
          <w:tcPr>
            <w:tcW w:type="dxa" w:w="24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rPr>
                <w:rFonts w:ascii="Calibri" w:hAnsi="Calibri"/>
                <w:b/>
                <w:i w:val="0"/>
                <w:color w:val="0B2942"/>
                <w:sz w:val="20"/>
              </w:rPr>
              <w:t>Trade execution</w:t>
            </w:r>
          </w:p>
        </w:tc>
        <w:tc>
          <w:tcPr>
            <w:tcW w:type="dxa" w:w="69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F3142"/>
                <w:sz w:val="20"/>
              </w:rPr>
              <w:t>Proxy indicators do not confirm an actual foreign-exchange or remittance restriction.</w:t>
            </w:r>
          </w:p>
        </w:tc>
      </w:tr>
      <w:tr>
        <w:tc>
          <w:tcPr>
            <w:tcW w:type="dxa" w:w="240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rPr>
                <w:rFonts w:ascii="Calibri" w:hAnsi="Calibri"/>
                <w:b/>
                <w:i w:val="0"/>
                <w:color w:val="0B2942"/>
                <w:sz w:val="20"/>
              </w:rPr>
              <w:t>Country grain</w:t>
            </w:r>
          </w:p>
        </w:tc>
        <w:tc>
          <w:tcPr>
            <w:tcW w:type="dxa" w:w="69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F3142"/>
                <w:sz w:val="20"/>
              </w:rPr>
              <w:t>Outputs do not determine the condition of a specific entity, bank, product, or transaction.</w:t>
            </w:r>
          </w:p>
        </w:tc>
      </w:tr>
    </w:tbl>
    <w:p>
      <w:pPr>
        <w:pStyle w:val="Heading1"/>
      </w:pPr>
      <w:r>
        <w:t>5 Governance and Change Control</w:t>
      </w:r>
    </w:p>
    <w:p>
      <w:r>
        <w:t>Published outputs are governed through model versioning, source and output hashes, automated quality controls, reproducibility tests, documented limitations, and change-management approval. Model version 1.0.0-rc1 is frozen in this release package.</w:t>
      </w:r>
    </w:p>
    <w:p>
      <w:r>
        <w:t>Any future methodology, weighting, normalization, threshold, or score-meaning change requires a separately governed model version and impact assessment. Client feedback is evidence for review; it does not automatically change a score.</w:t>
      </w:r>
    </w:p>
    <w:p>
      <w:pPr>
        <w:pStyle w:val="Heading1"/>
      </w:pPr>
      <w:r>
        <w:t>6 Required Client Notice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00" w:type="dxa"/>
              <w:start w:w="140" w:type="dxa"/>
              <w:bottom w:w="100" w:type="dxa"/>
              <w:end w:w="140" w:type="dxa"/>
            </w:tcMar>
            <w:vAlign w:val="center"/>
            <w:shd w:fill="FFF7E6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0E7C7B"/>
                <w:sz w:val="21"/>
              </w:rPr>
              <w:t xml:space="preserve">NOTICE  </w:t>
            </w:r>
            <w:r>
              <w:rPr>
                <w:rFonts w:ascii="Calibri" w:hAnsi="Calibri"/>
                <w:b w:val="0"/>
                <w:i w:val="0"/>
                <w:color w:val="0B2942"/>
                <w:sz w:val="21"/>
              </w:rPr>
              <w:t>This country intelligence indicator is designed for business decision support and does not represent a credit rating, investment rating, or default prediction.</w:t>
            </w:r>
          </w:p>
        </w:tc>
      </w:tr>
    </w:tbl>
    <w:p>
      <w:pPr>
        <w:spacing w:after="40"/>
      </w:pPr>
    </w:p>
    <w:p>
      <w:r>
        <w:t>The user remains responsible for applying professional judgement and for obtaining any required buyer, bank, product, legal, sanctions, regulatory, or transaction-specific review.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224" w:right="1440" w:bottom="1152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 w:val="0"/>
        <w:i w:val="0"/>
        <w:color w:val="5C7082"/>
        <w:sz w:val="18"/>
      </w:rPr>
      <w:t xml:space="preserve">Page </w:t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Style w:val="TableGrid"/>
      <w:tblW w:type="dxa" w:w="9360"/>
      <w:tblLayout w:type="fixed"/>
      <w:tblLook w:firstColumn="1" w:firstRow="1" w:lastColumn="0" w:lastRow="0" w:noHBand="0" w:noVBand="1" w:val="04A0"/>
      <w:tblInd w:w="0" w:type="dxa"/>
    </w:tblPr>
    <w:tblGrid>
      <w:gridCol w:w="5600"/>
      <w:gridCol w:w="3760"/>
    </w:tblGrid>
    <w:tr>
      <w:tc>
        <w:tcPr>
          <w:tcW w:type="dxa" w:w="5600"/>
          <w:tcMar>
            <w:top w:w="100" w:type="dxa"/>
            <w:start w:w="140" w:type="dxa"/>
            <w:bottom w:w="100" w:type="dxa"/>
            <w:end w:w="140" w:type="dxa"/>
          </w:tcMar>
          <w:vAlign w:val="center"/>
          <w:shd w:fill="FFFFFF"/>
          <w:tcBorders>
            <w:top w:val="nil"/>
            <w:left w:val="nil"/>
            <w:bottom w:val="nil"/>
            <w:right w:val="nil"/>
            <w:insideH w:val="nil"/>
            <w:insideV w:val="nil"/>
          </w:tcBorders>
        </w:tcPr>
        <w:p>
          <w:r>
            <w:rPr>
              <w:rFonts w:ascii="Calibri" w:hAnsi="Calibri"/>
              <w:b/>
              <w:i w:val="0"/>
              <w:color w:val="5C7082"/>
              <w:sz w:val="17"/>
            </w:rPr>
            <w:t>ApexInsight Global Country Intelligence</w:t>
          </w:r>
        </w:p>
      </w:tc>
      <w:tc>
        <w:tcPr>
          <w:tcW w:type="dxa" w:w="3760"/>
          <w:tcMar>
            <w:top w:w="100" w:type="dxa"/>
            <w:start w:w="140" w:type="dxa"/>
            <w:bottom w:w="100" w:type="dxa"/>
            <w:end w:w="140" w:type="dxa"/>
          </w:tcMar>
          <w:vAlign w:val="center"/>
          <w:shd w:fill="FFFFFF"/>
          <w:tcBorders>
            <w:top w:val="nil"/>
            <w:left w:val="nil"/>
            <w:bottom w:val="nil"/>
            <w:right w:val="nil"/>
            <w:insideH w:val="nil"/>
            <w:insideV w:val="nil"/>
          </w:tcBorders>
        </w:tcPr>
        <w:p>
          <w:pPr>
            <w:jc w:val="right"/>
          </w:pPr>
          <w:r>
            <w:rPr>
              <w:rFonts w:ascii="Calibri" w:hAnsi="Calibri"/>
              <w:b w:val="0"/>
              <w:i w:val="0"/>
              <w:color w:val="5C7082"/>
              <w:sz w:val="17"/>
            </w:rPr>
            <w:t>Compliance Statement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Calibri" w:hAnsi="Calibri"/>
      <w:color w:val="1F314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06B9C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06B9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0B2942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2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0B2942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360"/>
    </w:pPr>
    <w:rPr>
      <w:rFonts w:asciiTheme="majorHAnsi" w:eastAsiaTheme="majorEastAsia" w:hAnsiTheme="majorHAnsi" w:cstheme="majorBidi" w:ascii="Calibri" w:hAnsi="Calibri"/>
      <w:b w:val="0"/>
      <w:i/>
      <w:iCs/>
      <w:color w:val="5C7082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20" w:line="264" w:lineRule="auto"/>
      <w:ind w:left="720" w:hanging="360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allout">
    <w:name w:val="Callout"/>
    <w:pPr>
      <w:spacing w:before="120" w:after="200"/>
      <w:ind w:left="259" w:right="259"/>
    </w:pPr>
    <w:rPr>
      <w:rFonts w:ascii="Calibri" w:hAnsi="Calibri"/>
      <w:color w:val="0B2942"/>
      <w:sz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